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spacing w:before="120" w:after="60"/>
        <w:jc w:val="center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8"/>
          <w:szCs w:val="28"/>
          <w:u w:val="none"/>
          <w:effect w:val="none"/>
        </w:rPr>
        <w:t>KARTA BEZPEČNOSTNÝCH ÚDAJOV</w:t>
      </w:r>
    </w:p>
    <w:p>
      <w:pPr>
        <w:pStyle w:val="Nadpis5"/>
        <w:spacing w:before="120" w:after="60"/>
        <w:jc w:val="center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NARIADENIE KOMISIE (EÚ) 2020/878 z 18. júna 2020,                             </w:t>
      </w:r>
    </w:p>
    <w:p>
      <w:pPr>
        <w:pStyle w:val="Nadpis5"/>
        <w:spacing w:before="120" w:after="60"/>
        <w:jc w:val="center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ktorým sa mení príloha II k nariadeniu Európskeho parlamentu a Rady (ES) č. 1907/2006      o registrácii, hodnotení, autorizácii a obmedzovaní chemikálií (REACH) </w:t>
      </w:r>
    </w:p>
    <w:p>
      <w:pPr>
        <w:pStyle w:val="Telotextu"/>
        <w:spacing w:before="120" w:after="60"/>
        <w:jc w:val="left"/>
        <w:rPr>
          <w:rStyle w:val="Silnzvraznenie"/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r>
    </w:p>
    <w:p>
      <w:pPr>
        <w:pStyle w:val="Telotextu"/>
        <w:jc w:val="left"/>
        <w:rPr>
          <w:rStyle w:val="Silnzvraznenie"/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r>
    </w:p>
    <w:p>
      <w:pPr>
        <w:pStyle w:val="Telotextu"/>
        <w:jc w:val="left"/>
        <w:rPr/>
      </w:pP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Dátum vydania:            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30.11.2012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                                                    Počet strán: 10                                             Dátum revízie 1:           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01.06.2018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                 Dátum revízie 2</w:t>
        <w:tab/>
        <w:t>:</w:t>
        <w:tab/>
        <w:tab/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30.11.2020                                                                                                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Dátum revízie 3</w:t>
        <w:tab/>
        <w:t>:</w:t>
        <w:tab/>
        <w:tab/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31.12.2022                                                                                 </w:t>
      </w:r>
      <w:r>
        <w:rPr>
          <w:rStyle w:val="Silnzvraznenie"/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Dátum revízie 4:</w:t>
        <w:tab/>
        <w:tab/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31.12.2024</w:t>
      </w:r>
    </w:p>
    <w:p>
      <w:pPr>
        <w:pStyle w:val="Nadpis5"/>
        <w:rPr/>
      </w:pPr>
      <w:r>
        <w:rPr/>
      </w:r>
    </w:p>
    <w:p>
      <w:pPr>
        <w:pStyle w:val="Nadpis5"/>
        <w:rPr/>
      </w:pPr>
      <w:hyperlink r:id="rId2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1: Identifikácia látky/zmesi a spoločnosti/podniku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1.1. Identifikátor produktu: Obchodný názov výrobku: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PEDANT 30 PROFESIONÁL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UFI kód: Q110-3067-700U-S97R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1.2. Relevantné identifikované použitia látky alebo zmesi a použitia, ktoré sa neodporúčajú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Použitie látky/zmesi: prípravok na hrdzu a vodný kameň                                           Odporúčané obmedzenia z hľadiska používania: údaje nie sú k dispozícií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1.3. Údaje o dodávateľovi karty bezpečnostných údajov                                                        Výrobca: PERFEKT – SH s.r.o., Hliníková 45, 952 01, Vráble                                                                         tel: 037/7833773, 037/7834841, fax: 037/7833773, </w:t>
      </w:r>
      <w:hyperlink r:id="rId3">
        <w:r>
          <w:rPr>
            <w:rStyle w:val="Internetovodkaz"/>
            <w:rFonts w:ascii="Times New Roman" w:hAnsi="Times New Roman"/>
            <w:b w:val="false"/>
            <w:i w:val="false"/>
            <w:caps w:val="false"/>
            <w:smallCaps w:val="false"/>
            <w:color w:val="auto"/>
            <w:spacing w:val="0"/>
            <w:sz w:val="24"/>
            <w:szCs w:val="24"/>
          </w:rPr>
          <w:t>www.perfe.sk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, perfe@perfe.sk                                                                                                </w:t>
        <w:br/>
        <w:t xml:space="preserve">1.4. Núdzové telefónne číslo                                                                                                                Národné toxikologické informačné centrum, Limbová 5, 833 05 Bratislava                           tel: + 421 2 5477 4166, mobil: +421 911 166 066,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 fax 02/54774605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4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2: Identifikácia nebezpečnosti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2.1. Klasifikácia látky alebo zmesi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Klasifikácia podľa Nariadenia (ES) č. 1272/2008 CLP.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Vážne poškodenie očí, kat. 1</w:t>
        <w:tab/>
        <w:tab/>
        <w:tab/>
        <w:t>Spôsobuje vážne poškodenie očí.                                                  Podráždenie kože, kat. 2</w:t>
        <w:tab/>
        <w:tab/>
        <w:tab/>
        <w:tab/>
        <w:t>Dráždi kožu.</w:t>
      </w:r>
    </w:p>
    <w:p>
      <w:pPr>
        <w:pStyle w:val="Telotextu"/>
        <w:widowControl/>
        <w:spacing w:before="0" w:after="225"/>
        <w:ind w:left="0" w:right="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3760470</wp:posOffset>
            </wp:positionH>
            <wp:positionV relativeFrom="paragraph">
              <wp:posOffset>344805</wp:posOffset>
            </wp:positionV>
            <wp:extent cx="806450" cy="714375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.2. Prvky označovania</w:t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3023"/>
        <w:gridCol w:w="6048"/>
      </w:tblGrid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  <w:em w:val="none"/>
              </w:rPr>
              <w:t>Symbol nebezpe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čenstva:  </w:t>
            </w:r>
          </w:p>
          <w:p>
            <w:pPr>
              <w:pStyle w:val="Telotextu"/>
              <w:widowControl/>
              <w:spacing w:before="0" w:after="225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GHS 05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Výstražné slovo:     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Nebezpe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čenstvo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Výstražné upozornenie:    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H318 Spôsobuje vážne poškodenie očí.                                            H315 Dráždi kožu.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Bezpečnostná prevencia: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P 102 Uchovávajte mimo dosahu detí.                                    </w:t>
            </w:r>
          </w:p>
        </w:tc>
      </w:tr>
      <w:tr>
        <w:trPr/>
        <w:tc>
          <w:tcPr>
            <w:tcW w:w="30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225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Bezpečnostné opatrenia:</w:t>
            </w:r>
          </w:p>
        </w:tc>
        <w:tc>
          <w:tcPr>
            <w:tcW w:w="60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P280 Noste ochranné rukavice/ochranný odev/ochranné okuliare/ochranu tváre.                                                      P305 + 351 + 338 PO ZASIAHNUTÍ OČÍ: Niekoľko minút ich opatrne vyplachujte vodou.                                                Ak používate kontaktné šošovky a je to možné, odstráňte ich. Pokračujte vo vyplachovaní.                                                            P310  Okamžite volajte NÁRODNÉ TOXIKOLOGICKÉ INFORMAČNÉ CENTRUM alebo lekára.                        P302 + P352  PRI KONTAKTE S POKOŽKOU: Umyte veľkým množstvom vody a mydla.                                                          P332 + P313  Ak sa objaví podráždenie pokožky, vyhľadajte lekársku pomoc/starostlivosť.                                                              P362  Kontaminovaný odev vyzlečte.</w:t>
            </w:r>
          </w:p>
        </w:tc>
      </w:tr>
    </w:tbl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2.3. Iná nebezpečnosť          </w:t>
        <w:tab/>
        <w:t xml:space="preserve">    neaplikuje sa</w:t>
      </w:r>
    </w:p>
    <w:p>
      <w:pPr>
        <w:pStyle w:val="Nadpis5"/>
        <w:widowControl/>
        <w:spacing w:lineRule="atLeast" w:line="405" w:before="0" w:after="0"/>
        <w:ind w:left="0" w:right="0" w:hanging="0"/>
        <w:jc w:val="left"/>
        <w:rPr/>
      </w:pPr>
      <w:hyperlink r:id="rId6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3: Zloženie/informácie o zložkách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3.1. Látky 3.2. Zmesi</w:t>
      </w:r>
    </w:p>
    <w:p>
      <w:pPr>
        <w:pStyle w:val="Normal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r>
    </w:p>
    <w:tbl>
      <w:tblPr>
        <w:tblW w:w="9000" w:type="dxa"/>
        <w:jc w:val="left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1031"/>
        <w:gridCol w:w="1624"/>
        <w:gridCol w:w="1623"/>
        <w:gridCol w:w="1475"/>
        <w:gridCol w:w="1622"/>
        <w:gridCol w:w="1624"/>
      </w:tblGrid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Názov zložky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C12-14-alkylalkoholy, etoxylované,  sulfáty, sodné soli (1&gt; mol EO&lt;2.5)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Kyselina fosforečná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Kyselina citrónová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1-propanaminium , 3-amino-N-(carboxymethyl)-N,N-dimethyl-,N-C8-18(even numbered) acyl derivs., hydroxides, inner salts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Izopropylalkohol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Koncentácia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&lt; 4%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10 %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10 %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&lt; 1 %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&lt; 1 %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CAS číslo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68891-38-3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7664-38-2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77-92-9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/>
              <w:t>-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67-63-0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EC číslo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500-234-8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231-633-2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201-069-1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931-296-8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200-661-7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Registračné číslo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01-2119488639-16-0013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01-2119485924-24 -xxxx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szCs w:val="16"/>
                <w:u w:val="none"/>
                <w:em w:val="none"/>
              </w:rPr>
              <w:t>01-2119457026-42-xxxx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01-2119488533-30-xxxx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01-2119457558-25-xxxx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Výstražný symbol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GHS 05                      dráždivosť pre kožu kat.2   vážne poškodenie očí kat. 1     chronická vodná toxicita, kat.3                                          poznámka:               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pre koncentráciu  =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 platí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vážne poškodenie očí kat. 1 , 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318               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>pre koncentráciu  =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5 %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&lt;10%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 platí                                     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  podráždenie očí kat. 2, H319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05                                        žieravosť pre kožu kat. 1B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 xml:space="preserve">poznámka: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Eye Irrit. 2; H319: 10% ≤ C &lt; 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 xml:space="preserve">Skin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6"/>
                <w:szCs w:val="16"/>
                <w:u w:val="none"/>
                <w:em w:val="none"/>
              </w:rPr>
              <w:t>Corr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. 1B; H314: C ≥ 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16"/>
                <w:szCs w:val="16"/>
                <w:u w:val="none"/>
                <w:em w:val="none"/>
              </w:rPr>
              <w:t>Skin Irrit. 2; H315: 10% ≤ C &lt;25%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t xml:space="preserve">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07                                        podráždenie očí kat. 2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                       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GHS 05                         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vážne poškodenie očí kat. 1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chronická vodná toxicita, kat.3                   poznámka: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pre koncentráciu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platí                          vážne poškodenie očí kat.1, H318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  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pre koncentráciu             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&gt;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sk-SK"/>
              </w:rPr>
              <w:t xml:space="preserve">4 % a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  <w:lang w:val="en-US"/>
              </w:rPr>
              <w:t>&lt;=10%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3"/>
                <w:u w:val="none"/>
                <w:em w:val="none"/>
              </w:rPr>
              <w:t xml:space="preserve">    platí                                                                podráždenenie  oči kat. 2, H319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02                                           horľavé kvap. kat.2</w:t>
            </w:r>
          </w:p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GHS 07                                       vážne podráždenie očí kat.2          tox. pre špec. cieľ. org.                       jednoráz. exp. kat. 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Výstražné slovo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pozor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nebezpečenstvo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Obsahtabuky"/>
              <w:spacing w:before="0" w:after="200"/>
              <w:rPr/>
            </w:pPr>
            <w:r>
              <w:rPr/>
              <w:t>H výroky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H 315                                        H 318                                          H 412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H 314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>H 319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  <w:t xml:space="preserve">H 318                              H 412  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u w:val="none"/>
                <w:em w:val="none"/>
              </w:rPr>
              <w:t>H 225                                                H 319                                                  H 336</w:t>
            </w:r>
          </w:p>
        </w:tc>
      </w:tr>
    </w:tbl>
    <w:p>
      <w:pPr>
        <w:pStyle w:val="Normal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0"/>
          <w:szCs w:val="24"/>
          <w:u w:val="none"/>
          <w:em w:val="none"/>
        </w:rPr>
        <w:t>Plný text H-viet uvedených v tomto oddieli viď oddiel 16.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7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4: Opatrenia prvej pomoci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4.1. Opis opatrení prvej pomoci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Všeobecné pokyny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: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Dodržujte bezpečnostné pokyny uvedené na obale prípravku. Pri výskyte zdravotných ťažkostí alebo v pr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ípade neistoty navštívte lekára a poskytnite mu údaje z tejto karty bezpečnostných údajov. V žiadnom prípade nevyvolávajte zvracanie.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vdýchnutí: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Dopravte na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čerstvý vzduch.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Pri kontakte s pokožkou: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Pri vzniku podr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áždenia postihnuté miesto umyte vodou a dobre opláchnite, natrite reparačným krémom.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kontakte s očami: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Nieko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ľko minút ich opatrne vyplachujte vodou. Ak používate kontaktné šošovky a je to možné, odstráňte ich. Pokračujte vo vyplachovaní. Ak podráždenie očí pretrváva, vyhľadajte lekársku pomoc/starostlivosť.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Pri požití: </w:t>
      </w:r>
      <w:r>
        <w:rPr>
          <w:rFonts w:ascii="Times New Roman" w:hAnsi="Times New Roman"/>
          <w:b w:val="false"/>
          <w:i w:val="false"/>
          <w:iCs/>
          <w:strike w:val="false"/>
          <w:dstrike w:val="false"/>
          <w:outline w:val="false"/>
          <w:shadow w:val="false"/>
          <w:sz w:val="24"/>
          <w:u w:val="none"/>
          <w:em w:val="none"/>
        </w:rPr>
        <w:t>Vypl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áchnuť ústa čistou vodou ak je pri vedomí. Ak postihnutý vracia, treba ho uložiť do polohy na stranu, aby nedošlo k uduseniu zvratkami. Nevyvolávajte zvracanie, vyhľadajte lekársku pomoc.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4.2. Najdôležitejšie príznaky a účinky, akútne aj oneskorené                                                       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single"/>
          <w:em w:val="none"/>
        </w:rPr>
        <w:t>Pri vd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ýchnutí: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podráždenie dýchacieho traktu, kašeľ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kontakte s poko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žkou: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dočasné podráždenie kože, začervenanie, pálenie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kontakte s 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čami: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podráždenie očí, začervenanie, pálenie, slzenie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color w:val="000000"/>
          <w:sz w:val="24"/>
          <w:u w:val="single"/>
          <w:em w:val="none"/>
        </w:rPr>
        <w:t>Pri po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 xml:space="preserve">žití: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podráždenie tráviaceho traktu, hnačka, zvracanie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br/>
        <w:t xml:space="preserve">4.3. Údaj o akejkoľvek potrebe okamžitej lekárskej starostlivosti a osobitného ošetrenia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žiadne osobitn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upozornenie, pri požití nevyvolávať zvracanie, pri akýchkoľvek ťažkostiach kontaktovať lekára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8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5: Protipožiarne opatrenia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5.1. Hasiace prostriedky   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Vhodné hasiace prostriedky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: chemická pena, hasiaci prášok, voda, CO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vertAlign w:val="subscript"/>
          <w:em w:val="none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Nevhodné hasiace prostriedky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: nie sú dostupné žiadne údaje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5.2. Osobitné ohrozenia vyplývajúce z látky alebo zo zmesi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horen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vznikajú oxidy uhlíka.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5.3. Rady pre požiarnikov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ásahová skupina musí používať ochranný oblek a izolačný dýchací prístroj v uzavretom priestore.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9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6: Opatrenia pri náhodnom uvoľnení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6.1. Osobné bezpečnostné opatrenia, ochranné vybavenie a núdzové postupy                                     </w:t>
      </w:r>
      <w:r>
        <w:rPr>
          <w:rFonts w:ascii="Times New Roman" w:hAnsi="Times New Roman"/>
        </w:rPr>
        <w:t xml:space="preserve">Dodržujte </w:t>
      </w:r>
      <w:r>
        <w:rPr>
          <w:rFonts w:ascii="Times New Roman" w:hAnsi="Times New Roman"/>
          <w:sz w:val="24"/>
          <w:szCs w:val="24"/>
        </w:rPr>
        <w:t>pravidlá</w:t>
      </w:r>
      <w:r>
        <w:rPr>
          <w:rFonts w:ascii="Times New Roman" w:hAnsi="Times New Roman"/>
        </w:rPr>
        <w:t xml:space="preserve"> pracovnej hygieny. Zabezpečte dostatočné vetranie.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Použite prostriedky osobnej ochrany (ochranné rukavice a ochranný odev). Ochrana osôb je uvedená v oddiely 8.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6.2. Bezpečnostné opatrenia pre životné prostredie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Zabráňte úniku do povrchových a spodných vôd.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6.3. Metódy a materiál na zabránenie šíreniu a vyčistenie                                                         Pri úniku prostriedok zozbierajte a u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schov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ávajte vo vhodnej a uzavretej nádobe na zneškodnenie. Zriedite veľkým množstvom vody 1:100 a likvidujte v čističke odpadových vôd.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6.4. Odkaz na iné oddiely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Inform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ácie o osobných ochranných pomôckach viď v oddieli 8.                                                             Informácie o nakladaní s odpadmi viď v oddieli 13.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0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7: Zaobchádzanie a skladovanie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7.1. Bezpečnostné opatrenia na bezpečné zaobchádzanie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S prostriedkom sa zaobchádza podľa návodu na použitie, ktorý je uvedený na spotrebiteľskom obale. Dodržujte všeobecné hygienické a bezpečnostné predpisy pre ochranu osôb. Noste vhodné ochranné pracovné prostriedky.                                                                                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ákaz jesť, piť a fajčiť.                                                                                                         Zaistiť čistú a suchú podlahu. Pozor na pošmyknutie pri znečistení podlahy, vyliaty prípravok tvorí klzký film na podlahe. Podlahu a predmety znečistené týmto prípravkom umyte vodou.</w:t>
      </w:r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7.2. Podmienky na bezpečné skladovanie vrátane akejkoľvek nekompatibility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                Skladovať v čistých, dobre uzatvorených obaloch, chránených skladovacích priestoroch proti vonkajším poveternostným vplyvom pri teplote +5 až +25 °C. Uchovávajte mimo dosahu detí. Záručná doba je 24 mesiacov od dátumu výroby.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7.3. Špecifické konečné použitie(-ia)                                                                                                   </w:t>
      </w:r>
      <w:bookmarkStart w:id="0" w:name="__DdeLink__638_1929572933"/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p</w:t>
      </w:r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rípravok na hrdzu a vodný kameň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1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8: Kontroly expozície/osobná ochrana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8.1. Kontrolné parametre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Najvyššie expozičné limity chemických faktorov v pracovnom ovzduší podľa NV SR č. 355/2006 Z.z.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position w:val="6"/>
          <w:sz w:val="24"/>
          <w:u w:val="none"/>
          <w:em w:val="none"/>
        </w:rPr>
        <w:t>Hodnoty limitov expozície na pracovisku:                                                                                                     propán-2-ol (67-63-0)</w:t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NPEL priemerná 500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 xml:space="preserve">3                                                                           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ab/>
        <w:tab/>
        <w:tab/>
        <w:tab/>
        <w:tab/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NPEL krátkodobá 1000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>3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ab/>
        <w:tab/>
        <w:tab/>
        <w:tab/>
        <w:tab/>
        <w:tab/>
        <w:t>kategória II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kyselina fosfore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čná (CAS 7664-38-2): NPEL hraničná 2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 xml:space="preserve">3                                                               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NPEL priemerná 1 mg/m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position w:val="7"/>
          <w:sz w:val="24"/>
          <w:u w:val="none"/>
          <w:em w:val="none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                                                              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8.2. Kontroly expozície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Primerané technické zabezpečenie: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Zaistite dostato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čnú výmenu vzduchu.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Individuálne ochranné opatrenia, ako napríklad osobné ochranné prostriedky: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Ochrana očí/tváre: zabr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ániť kontaktu s očami Ochrana kože: používať vhodný pracovný odev, obuv a rukavice odolné voči detergentom Ochrana dýchacích ciest: nie je nutná vo vetraných priestoroch Tepelná nebezpečnosť: neaplikuje sa                                                                     </w:t>
      </w:r>
      <w:r>
        <w:rPr>
          <w:rFonts w:ascii="Times New Roman" w:hAnsi="Times New Roman"/>
          <w:b w:val="false"/>
          <w:i/>
          <w:iCs/>
          <w:strike w:val="false"/>
          <w:dstrike w:val="false"/>
          <w:outline w:val="false"/>
          <w:shadow w:val="false"/>
          <w:sz w:val="24"/>
          <w:u w:val="single"/>
          <w:em w:val="none"/>
        </w:rPr>
        <w:t>Kontroly enviromentálnej expozície:</w:t>
      </w:r>
      <w:r>
        <w:rPr>
          <w:rFonts w:ascii="Times New Roman" w:hAnsi="Times New Roman"/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Zabráňte úniku do povrchových a spodných vôd.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2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9: Fyzikálne a chemické vlastnosti</w:t>
        </w:r>
      </w:hyperlink>
    </w:p>
    <w:p>
      <w:pPr>
        <w:pStyle w:val="Normal"/>
        <w:widowControl/>
        <w:spacing w:before="0" w:after="168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                                                   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9.1. Informácie o základných fyzikálnych a chemických vlastnostiach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Skupenstvo: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viskózna kvapalina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Farba: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tmavomodrá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Zápach: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sanitárny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Teplota topenia/tuhnutia 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varu alebo počiatočná teplota varu a rozmedzie teploty varu: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Horľavosť: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Dolná a horná medza výbušnosti: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vzplanutia: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samovznietenia: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Teplota rozkladu: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Hodnota pH: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0,9 – 1,2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Kinematická viskozita: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Rozpustnosť: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Rozdeľovacia konštanta (hodnota log):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Tlak pár: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Hustota a/alebo relatívna hustota: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1115-1125 kg/m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position w:val="5"/>
          <w:sz w:val="16"/>
          <w:szCs w:val="16"/>
          <w:u w:val="none"/>
          <w:em w:val="none"/>
        </w:rPr>
        <w:t>3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Relatívna hustota pár: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 </w:t>
      </w:r>
    </w:p>
    <w:p>
      <w:pPr>
        <w:pStyle w:val="Telotextu"/>
        <w:widowControl/>
        <w:spacing w:lineRule="atLeast" w:line="405" w:before="0" w:after="225"/>
        <w:ind w:left="0" w:right="0" w:hanging="0"/>
        <w:rPr/>
      </w:pP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Vlastnosti častíc: </w:t>
      </w: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údaje nie sú k dispozícíí/neaplikuje sa  </w:t>
      </w: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1"/>
          <w:szCs w:val="21"/>
          <w:u w:val="none"/>
          <w:effect w:val="none"/>
          <w:em w:val="none"/>
        </w:rPr>
        <w:t xml:space="preserve">                                                                                  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9.2. Iné informácie:</w:t>
      </w:r>
    </w:p>
    <w:p>
      <w:pPr>
        <w:pStyle w:val="Telotextu"/>
        <w:widowControl/>
        <w:spacing w:lineRule="atLeast" w:line="405" w:before="0" w:after="225"/>
        <w:ind w:left="0" w:right="0" w:hanging="0"/>
        <w:rPr/>
      </w:pPr>
      <w:r>
        <w:rPr>
          <w:rStyle w:val="Silnzvraznenie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9.2.1. Informácie týkajúce sa tried fyzikálnej nebezpečnosti :údaje nie sú k dispozícíí/neaplikuje sa                                                                                                          9.2.2. Ostatné bezpečnostné charakteristiky: údaje nie sú k dispozícíí/neaplikuje sa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9.1. Informácie o základných fyzikálnych a chemických vlastnostiach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3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10: Stabilita a reaktivita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10.1. Reaktivita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skladovan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a použití podľa návodu nedochádza k rozkladu.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10.2. Chemická stabilita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skladovan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í a použití podľa návodu nedochádza k rozkladu.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10.3. Možnosť nebezpečných reakcií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Nemie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šať s inými čistiacimi prostriedkami.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10.4. Podmienky, ktorým sa treba vyhnúť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Vysok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teploty, tlak a priamy oheň.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10.5. Nekompatibilné materiály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pou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žívaní v súlade s odporučením žiadne.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10.6. Nebezpečné produkty rozkladu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Pri pou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žití v súlade so stanovenými podmienkami nedochádza k rozkladu.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4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11: Toxikologické informácie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11.1. Informácie o triedach nebezpečnosti vymedzených v nariadení (ES) č. 1272/2008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a) akútna toxicita: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b) poleptanie kože/podráždenie kože: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Dráždi kožu. 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c) vážne poškodenie očí/podráždenie očí: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Spôsobuje vážne poškodenie očí.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d) respiračná alebo kožná senzibilizácia: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e) mutagenita pre zárodočné bunky: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f) karcinogenita: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g) reprodukčná toxicita: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h) toxicita pre špecifický cieľový orgán (STOT) – jednorazová expozícia: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i) toxicita pre špecifický cieľový orgán (STOT) – opakovaná expozícia: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j) aspiračná nebezpečnosť: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údaje nie sú k dispozícíí/neaplikuje sa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>11.2. Informácie o inej nebezpečnosti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11.2.1. Vlastnosti endokrinných disruptorov (rozvracačov):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údaje nie sú k dispozícíí/neaplikuje sa 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   </w:t>
      </w:r>
    </w:p>
    <w:p>
      <w:pPr>
        <w:pStyle w:val="Telotextu"/>
        <w:widowControl/>
        <w:spacing w:lineRule="atLeast" w:line="405" w:before="0" w:after="225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</w:pP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11.2.2. Iné informácie: </w:t>
      </w:r>
      <w:r>
        <w:rPr>
          <w:rStyle w:val="Silnzvraznenie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ffect w:val="none"/>
          <w:em w:val="none"/>
        </w:rPr>
        <w:t xml:space="preserve">údaje nie sú k dispozícíí/neaplikuje sa 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5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12: Ekologické informácie</w:t>
        </w:r>
      </w:hyperlink>
    </w:p>
    <w:p>
      <w:pPr>
        <w:pStyle w:val="Telotextu"/>
        <w:widowControl/>
        <w:spacing w:before="0" w:after="225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4536"/>
        <w:gridCol w:w="4535"/>
      </w:tblGrid>
      <w:tr>
        <w:trPr>
          <w:trHeight w:val="450" w:hRule="atLeast"/>
        </w:trPr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12.1. Toxicita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907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12.2. Perzistencia a degradovateľnosť                                                                              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Biologick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á odbúrateľnosť povrchovo aktívnych látok použitých v tomto prípravku je súlade s kritériami biodegradability podľa Nariadenia EP a ES č. 648/2004 o detergentoch.                Tento dokument potvrdzuje, že všetky povrchovo aktívne látky v produkte dosahujú &gt; 60% degradácie. Prahová hodnota biodegradability (podľa OECD 301) je dosiahnutá.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12.3. Bioakumulačný potenciál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11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12.4. Mobilita v pôde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12.5. Výsledky posúdenia PBT a vPvB</w:t>
            </w:r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  <w:tr>
        <w:trPr/>
        <w:tc>
          <w:tcPr>
            <w:tcW w:w="45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12.6.  Vlastnosti endokrinných disruptorov (rozvracačov)</w:t>
            </w:r>
          </w:p>
          <w:p>
            <w:pPr>
              <w:pStyle w:val="Telotextu"/>
              <w:widowControl/>
              <w:spacing w:lineRule="auto" w:line="240"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12.7. Iné nepriaznivé účinky                               </w:t>
            </w:r>
            <w:bookmarkStart w:id="1" w:name="__DdeLink__840_2894685765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4"/>
                <w:szCs w:val="24"/>
                <w:u w:val="none"/>
                <w:em w:val="none"/>
              </w:rPr>
              <w:t>údaje nie sú k dispozícíí/neaplikuje sa</w:t>
            </w:r>
            <w:bookmarkEnd w:id="1"/>
          </w:p>
        </w:tc>
        <w:tc>
          <w:tcPr>
            <w:tcW w:w="45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údaje nie sú k dispozícíí/neaplikuje sa</w:t>
            </w:r>
          </w:p>
        </w:tc>
      </w:tr>
    </w:tbl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6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br/>
          <w:t>ODDIEL 13: Opatrenia pri zneškodňovaní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13.1. Metódy spracovania odpadu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Likvidácia produktu: likvidujte v súlade s miestnymi a národnými predpismi.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Likvidácia obalu: obaly bez zvyškov odovzdajte na skládky zberných surovín.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 xml:space="preserve">Zneškodňujte v súlade so Zákonom NR SR 79/2015 o odpadoch a o zmene a doplnení niektorých zákonov ako nebezpečný odpad v povolenom zariadení. Kód odpadu podľa prílohy č.1 k Vyhláške MŽP SR 365/2015, ktorou sa ustanovuje Katalóg odpadov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Zákon č. 313/2016 Z.z. . Zákon o odpadoch a o zmene a doplnení niektorých zákonov. </w:t>
      </w:r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Zabráňte úniku do povrchových a spodných vôd.</w:t>
      </w:r>
    </w:p>
    <w:p>
      <w:pPr>
        <w:pStyle w:val="Telotextu"/>
        <w:widowControl/>
        <w:spacing w:before="0" w:after="225"/>
        <w:ind w:left="0" w:right="0" w:hanging="0"/>
        <w:rPr/>
      </w:pPr>
      <w:r>
        <w:rPr/>
      </w:r>
    </w:p>
    <w:p>
      <w:pPr>
        <w:pStyle w:val="Telotextu"/>
        <w:widowControl/>
        <w:spacing w:before="0" w:after="225"/>
        <w:ind w:left="0" w:right="0" w:hanging="0"/>
        <w:rPr/>
      </w:pPr>
      <w:hyperlink r:id="rId17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br/>
          <w:t>ODDIEL 14: Informácie o doprave</w:t>
        </w:r>
      </w:hyperlink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sz w:val="24"/>
          <w:szCs w:val="24"/>
          <w:u w:val="none"/>
          <w:em w:val="none"/>
        </w:rPr>
        <w:t>Nie je nebezpe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čným tovarom v zmysle ADR/RID, IMDG a ICAO/IATA</w:t>
      </w:r>
    </w:p>
    <w:tbl>
      <w:tblPr>
        <w:tblW w:w="9072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5399"/>
        <w:gridCol w:w="3672"/>
      </w:tblGrid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54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14.1. Číslo OSN alebo identifikačné číslo 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4.2. Správne expedičné označenie OSN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4.3. Trieda(-y) nebezpečnosti pre dopravu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4.4. Obalová skupina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4.5. Nebezpečnosť pre životné prostredie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68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14.6. Osobitné bezpečnostné opatrenia pre užívateľa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  <w:tr>
        <w:trPr/>
        <w:tc>
          <w:tcPr>
            <w:tcW w:w="539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Telotextu"/>
              <w:widowControl/>
              <w:spacing w:before="0" w:after="111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14.7. Námorná preprava hromadného nákladu podľa nástrojov IMO </w:t>
            </w:r>
          </w:p>
        </w:tc>
        <w:tc>
          <w:tcPr>
            <w:tcW w:w="36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Obsahtabuky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</w:t>
            </w:r>
          </w:p>
        </w:tc>
      </w:tr>
    </w:tbl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8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15: Regulačné informácie</w:t>
        </w:r>
      </w:hyperlink>
    </w:p>
    <w:p>
      <w:pPr>
        <w:pStyle w:val="Telotextu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15.1. Nariadenia/právne predpisy špecifické pre látku alebo zmes v oblasti bezpečnosti, zdravia a životného prostredia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Z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ákon č. 67/2010 Z. z. o podmienkach uvedenia  chemických látok  a chemických zmesí na trh a o zmene a doplnení niektorých zákonov (chemický zákon).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Zákon č. 313/2016 Z.z. . Zákon o odpadoch a o zmene a doplnení niektorých zákonov.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                                   Nariadenie vlády SR č. 355/2006 Z.z. SR, o ochrane zdravia zamestnancov pred rizikami súvisiacimi s expozíciou chemickým faktorom pri práci v znení Nariadenia vlády SR č. 471/2011 Z.z. a súvisiacich predpisov.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Nariadenie Európskeho parlamentu a Rady (ES) č. 1272/2008 o klasifikácií, označovaní balení látok a zmesí.                                                                                                                                      Nariadenie Európskeho parlamentu a Rady (ES) č. 1907/2006 o registrácií, hodnotení a autorizácií a obmedzovaní chemických látok (REACH) a o zriadení Európskej chemickej agentúry.                                                                                                                          Nariadenie EP a Rady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č. 1272/2008 (CLP) o klasifikácii, označovaní a balení látok a zmesí, o zmene, doplnení a zrušení smerníc 67/548/EHS a 1999/45/ES a o zmene a doplnení nariadenia (ES) č. 1907/2006.     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Nariadenie EP a Rady (ES) č. 648/2004 o detergentoch v znení neskorších predpisov.</w:t>
      </w:r>
    </w:p>
    <w:p>
      <w:pPr>
        <w:pStyle w:val="Normal"/>
        <w:widowControl/>
        <w:spacing w:before="0" w:after="225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br/>
        <w:t>15.2. Hodnotenie chemickej bezpečnosti</w:t>
        <w:tab/>
        <w:tab/>
        <w:tab/>
        <w:tab/>
        <w:t>neaplikuje sa</w:t>
      </w:r>
    </w:p>
    <w:p>
      <w:pPr>
        <w:pStyle w:val="Nadpis5"/>
        <w:widowControl/>
        <w:spacing w:lineRule="atLeast" w:line="405" w:before="0" w:after="0"/>
        <w:ind w:left="0" w:right="0" w:hanging="0"/>
        <w:rPr/>
      </w:pPr>
      <w:hyperlink r:id="rId19">
        <w:r>
          <w:rPr>
            <w:rStyle w:val="Silnzvraznenie"/>
            <w:rFonts w:ascii="Times New Roman" w:hAnsi="Times New Roman"/>
            <w:b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4"/>
            <w:szCs w:val="24"/>
            <w:u w:val="none"/>
            <w:effect w:val="none"/>
          </w:rPr>
          <w:t>ODDIEL 16: Iné informácie</w:t>
        </w:r>
      </w:hyperlink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</w:rPr>
        <w:t xml:space="preserve">Dôvod revízie : 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</w:rPr>
        <w:t xml:space="preserve">01.06.2018 -  Doplnené registračné čísla zložiek do bodu 3.                                                                                                                30.11.2020 -  Revízia a úprava klasifikácie zložiek v bode 3.                                                                   </w:t>
      </w:r>
      <w:bookmarkStart w:id="2" w:name="__DdeLink__660_2784564148"/>
      <w:r>
        <w:rPr>
          <w:rFonts w:ascii="Times New Roman" w:hAnsi="Times New Roman"/>
          <w:sz w:val="24"/>
          <w:szCs w:val="24"/>
        </w:rPr>
        <w:t>31.12.2022 – Revízia a úprava oddielov 9, 11, 12, 14</w:t>
      </w:r>
      <w:bookmarkEnd w:id="2"/>
      <w:r>
        <w:rPr>
          <w:rFonts w:ascii="Times New Roman" w:hAnsi="Times New Roman"/>
          <w:sz w:val="24"/>
          <w:szCs w:val="24"/>
        </w:rPr>
        <w:t xml:space="preserve">                                                            31.12.2024 – Doplnený UFI kód    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Pln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é znenie H - viet z bodu 3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H314 – Spôsobuje vážne poleptanie kože a poškodenie očí.                                                                           H315 – Dráždi kožu.                                                                                                                                                                                                                                                                          H318 – Spôsobuje vážne poškodenie očí.                                                                                                    H319 -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ôsobuje vážne podráždenie očí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                                                                                                 H225 - Veľmi horľavá kvapalina a pary.                                                                                                   H336 - M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ôže spôsobiť ospalosť alebo závraty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H412 – Škodlivý pre vodné organizmy, s dlhodobými účinkami.              </w:t>
      </w:r>
    </w:p>
    <w:p>
      <w:pPr>
        <w:pStyle w:val="Normal"/>
        <w:spacing w:before="0" w:after="200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Údaje uvedené v tejto karte bezpečnostných údajov odpovedajú súčasnému stavu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vedomosti a skúsenosti a sú v súlade s platnými právnymi predpismi.                                                           V prípade použitia prípravku iným spôsobom ako je doporučované v tejto karte bezpečnostných údajov, výrobca ani dodávateľ nezodpovedá za prípadnú vzniknutú škodu.</w:t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0"/>
      <w:footerReference w:type="default" r:id="rId21"/>
      <w:type w:val="nextPage"/>
      <w:pgSz w:w="11906" w:h="16838"/>
      <w:pgMar w:left="1417" w:right="1417" w:header="1417" w:top="1969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spacing w:before="0" w:after="200"/>
      <w:jc w:val="center"/>
      <w:rPr/>
    </w:pPr>
    <w:r>
      <w:rPr/>
      <w:t>KBÚ  PEDANT 30 PROFESIONÁL</w:t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57d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5">
    <w:name w:val="Heading 5"/>
    <w:basedOn w:val="Nadpis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lnzvraznenie">
    <w:name w:val="Silné zvýraznenie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">
    <w:name w:val="ListLabel 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">
    <w:name w:val="ListLabel 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">
    <w:name w:val="ListLabel 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">
    <w:name w:val="ListLabel 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6">
    <w:name w:val="ListLabel 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7">
    <w:name w:val="ListLabel 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8">
    <w:name w:val="ListLabel 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9">
    <w:name w:val="ListLabel 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0">
    <w:name w:val="ListLabel 1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1">
    <w:name w:val="ListLabel 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2">
    <w:name w:val="ListLabel 1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3">
    <w:name w:val="ListLabel 1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5">
    <w:name w:val="ListLabel 1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6">
    <w:name w:val="ListLabel 1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7">
    <w:name w:val="ListLabel 1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18">
    <w:name w:val="ListLabel 1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19">
    <w:name w:val="ListLabel 1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0">
    <w:name w:val="ListLabel 2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1">
    <w:name w:val="ListLabel 2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2">
    <w:name w:val="ListLabel 2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3">
    <w:name w:val="ListLabel 2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4">
    <w:name w:val="ListLabel 2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5">
    <w:name w:val="ListLabel 2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6">
    <w:name w:val="ListLabel 2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7">
    <w:name w:val="ListLabel 2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28">
    <w:name w:val="ListLabel 2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29">
    <w:name w:val="ListLabel 2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0">
    <w:name w:val="ListLabel 3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1">
    <w:name w:val="ListLabel 3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2">
    <w:name w:val="ListLabel 3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3">
    <w:name w:val="ListLabel 3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4">
    <w:name w:val="ListLabel 3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5">
    <w:name w:val="ListLabel 3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6">
    <w:name w:val="ListLabel 3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7">
    <w:name w:val="ListLabel 3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38">
    <w:name w:val="ListLabel 3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39">
    <w:name w:val="ListLabel 3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0">
    <w:name w:val="ListLabel 4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1">
    <w:name w:val="ListLabel 4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2">
    <w:name w:val="ListLabel 4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3">
    <w:name w:val="ListLabel 4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4">
    <w:name w:val="ListLabel 4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5">
    <w:name w:val="ListLabel 4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6">
    <w:name w:val="ListLabel 46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7">
    <w:name w:val="ListLabel 47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48">
    <w:name w:val="ListLabel 48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49">
    <w:name w:val="ListLabel 49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0">
    <w:name w:val="ListLabel 50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1">
    <w:name w:val="ListLabel 5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2">
    <w:name w:val="ListLabel 52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character" w:styleId="ListLabel53">
    <w:name w:val="ListLabel 5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auto"/>
      <w:spacing w:val="0"/>
      <w:sz w:val="24"/>
      <w:szCs w:val="24"/>
      <w:u w:val="none"/>
      <w:effect w:val="none"/>
    </w:rPr>
  </w:style>
  <w:style w:type="character" w:styleId="ListLabel54">
    <w:name w:val="ListLabel 54"/>
    <w:qFormat/>
    <w:rPr>
      <w:rFonts w:ascii="Times New Roman" w:hAnsi="Times New Roman"/>
      <w:b w:val="false"/>
      <w:i w:val="false"/>
      <w:caps w:val="false"/>
      <w:smallCaps w:val="false"/>
      <w:color w:val="auto"/>
      <w:spacing w:val="0"/>
      <w:sz w:val="24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0db4"/>
    <w:pPr>
      <w:spacing w:before="0" w:after="200"/>
      <w:ind w:left="720" w:hanging="0"/>
      <w:contextualSpacing/>
    </w:pPr>
    <w:rPr/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Hlavika">
    <w:name w:val="Header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otoxcenters.eu/karta-bezpecnostnych-udajov/format-karty-bezpecnostnych-udajov/oddiel-1/" TargetMode="External"/><Relationship Id="rId3" Type="http://schemas.openxmlformats.org/officeDocument/2006/relationships/hyperlink" Target="http://www.perfe.sk/" TargetMode="External"/><Relationship Id="rId4" Type="http://schemas.openxmlformats.org/officeDocument/2006/relationships/hyperlink" Target="https://ekotoxcenters.eu/karta-bezpecnostnych-udajov/format-karty-bezpecnostnych-udajov/oddiel-2/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ekotoxcenters.eu/karta-bezpecnostnych-udajov/format-karty-bezpecnostnych-udajov/oddiel-3/" TargetMode="External"/><Relationship Id="rId7" Type="http://schemas.openxmlformats.org/officeDocument/2006/relationships/hyperlink" Target="https://ekotoxcenters.eu/karta-bezpecnostnych-udajov/format-karty-bezpecnostnych-udajov/oddiel-4/" TargetMode="External"/><Relationship Id="rId8" Type="http://schemas.openxmlformats.org/officeDocument/2006/relationships/hyperlink" Target="https://ekotoxcenters.eu/karta-bezpecnostnych-udajov/format-karty-bezpecnostnych-udajov/oddiel-5/" TargetMode="External"/><Relationship Id="rId9" Type="http://schemas.openxmlformats.org/officeDocument/2006/relationships/hyperlink" Target="https://ekotoxcenters.eu/karta-bezpecnostnych-udajov/format-karty-bezpecnostnych-udajov/oddiel-6/" TargetMode="External"/><Relationship Id="rId10" Type="http://schemas.openxmlformats.org/officeDocument/2006/relationships/hyperlink" Target="https://ekotoxcenters.eu/karta-bezpecnostnych-udajov/format-karty-bezpecnostnych-udajov/oddiel-7/" TargetMode="External"/><Relationship Id="rId11" Type="http://schemas.openxmlformats.org/officeDocument/2006/relationships/hyperlink" Target="https://ekotoxcenters.eu/karta-bezpecnostnych-udajov/format-karty-bezpecnostnych-udajov/oddiel-8/" TargetMode="External"/><Relationship Id="rId12" Type="http://schemas.openxmlformats.org/officeDocument/2006/relationships/hyperlink" Target="https://ekotoxcenters.eu/karta-bezpecnostnych-udajov/format-karty-bezpecnostnych-udajov/oddiel-9/" TargetMode="External"/><Relationship Id="rId13" Type="http://schemas.openxmlformats.org/officeDocument/2006/relationships/hyperlink" Target="https://ekotoxcenters.eu/karta-bezpecnostnych-udajov/format-karty-bezpecnostnych-udajov/oddiel-10/" TargetMode="External"/><Relationship Id="rId14" Type="http://schemas.openxmlformats.org/officeDocument/2006/relationships/hyperlink" Target="https://ekotoxcenters.eu/karta-bezpecnostnych-udajov/format-karty-bezpecnostnych-udajov/oddiel-11/" TargetMode="External"/><Relationship Id="rId15" Type="http://schemas.openxmlformats.org/officeDocument/2006/relationships/hyperlink" Target="https://ekotoxcenters.eu/karta-bezpecnostnych-udajov/format-karty-bezpecnostnych-udajov/oddiel-12/" TargetMode="External"/><Relationship Id="rId16" Type="http://schemas.openxmlformats.org/officeDocument/2006/relationships/hyperlink" Target="https://ekotoxcenters.eu/karta-bezpecnostnych-udajov/format-karty-bezpecnostnych-udajov/oddiel-13/" TargetMode="External"/><Relationship Id="rId17" Type="http://schemas.openxmlformats.org/officeDocument/2006/relationships/hyperlink" Target="https://ekotoxcenters.eu/karta-bezpecnostnych-udajov/format-karty-bezpecnostnych-udajov/oddiel-14/" TargetMode="External"/><Relationship Id="rId18" Type="http://schemas.openxmlformats.org/officeDocument/2006/relationships/hyperlink" Target="https://ekotoxcenters.eu/karta-bezpecnostnych-udajov/format-karty-bezpecnostnych-udajov/oddiel-15/" TargetMode="External"/><Relationship Id="rId19" Type="http://schemas.openxmlformats.org/officeDocument/2006/relationships/hyperlink" Target="https://ekotoxcenters.eu/karta-bezpecnostnych-udajov/format-karty-bezpecnostnych-udajov/oddiel-16/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Application>LibreOffice/6.0.5.2$Windows_x86 LibreOffice_project/54c8cbb85f300ac59db32fe8a675ff7683cd5a16</Application>
  <Pages>10</Pages>
  <Words>2095</Words>
  <Characters>12952</Characters>
  <CharactersWithSpaces>22624</CharactersWithSpaces>
  <Paragraphs>198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2017-04-26T04:57:00Z</dcterms:created>
  <dc:creator>PERFEKT</dc:creator>
  <dc:description/>
  <dc:language>en-US</dc:language>
  <cp:lastModifiedBy/>
  <cp:lastPrinted>2019-03-05T13:10:56Z</cp:lastPrinted>
  <dcterms:modified xsi:type="dcterms:W3CDTF">2024-12-10T15:13:36Z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